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B" w:rsidRDefault="004E320B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83845B7" wp14:editId="51D76B66">
            <wp:simplePos x="0" y="0"/>
            <wp:positionH relativeFrom="column">
              <wp:posOffset>5497326</wp:posOffset>
            </wp:positionH>
            <wp:positionV relativeFrom="paragraph">
              <wp:posOffset>-576564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Checklist for panels – care of records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This checklist should form the basis of one meeting of the panel each year.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bookmarkStart w:id="0" w:name="_GoBack"/>
      <w:bookmarkEnd w:id="0"/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"/>
        <w:gridCol w:w="7378"/>
        <w:gridCol w:w="1260"/>
        <w:gridCol w:w="900"/>
      </w:tblGrid>
      <w:tr w:rsidR="008C1F60" w:rsidRPr="008C1F60" w:rsidTr="007B7D9B"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C1F60" w:rsidRPr="008C1F60" w:rsidTr="007B7D9B">
        <w:trPr>
          <w:trHeight w:val="7237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B.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C.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E. 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Is there is a register of all </w:t>
            </w:r>
            <w:r w:rsidR="00AE2533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 and volunteers working with children in the parish?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Have all </w:t>
            </w:r>
            <w:r w:rsidR="00AE2533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 and volunteers at appointment been subject</w:t>
            </w:r>
            <w:r w:rsidR="007B7D9B">
              <w:rPr>
                <w:rFonts w:ascii="Arial" w:hAnsi="Arial" w:cs="Arial"/>
                <w:sz w:val="24"/>
                <w:szCs w:val="24"/>
              </w:rPr>
              <w:t xml:space="preserve"> to an AccessNI</w:t>
            </w:r>
            <w:r w:rsidRPr="008C1F60">
              <w:rPr>
                <w:rFonts w:ascii="Arial" w:hAnsi="Arial" w:cs="Arial"/>
                <w:sz w:val="24"/>
                <w:szCs w:val="24"/>
              </w:rPr>
              <w:t xml:space="preserve"> vetting check?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Have all </w:t>
            </w:r>
            <w:r w:rsidR="00AE2533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 xml:space="preserve">staff and volunteers received a copy of the latest edition of </w:t>
            </w:r>
            <w:r w:rsidRPr="008C1F60">
              <w:rPr>
                <w:rFonts w:ascii="Arial" w:hAnsi="Arial" w:cs="Arial"/>
                <w:i/>
                <w:sz w:val="24"/>
                <w:szCs w:val="24"/>
              </w:rPr>
              <w:t>Safeguarding Trust?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Have all </w:t>
            </w:r>
            <w:r w:rsidR="00AE2533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 xml:space="preserve">staff and volunteers signed the appropriate form acknowledging receipt of </w:t>
            </w:r>
            <w:r w:rsidRPr="008C1F60">
              <w:rPr>
                <w:rFonts w:ascii="Arial" w:hAnsi="Arial" w:cs="Arial"/>
                <w:i/>
                <w:sz w:val="24"/>
                <w:szCs w:val="24"/>
              </w:rPr>
              <w:t xml:space="preserve">Safeguarding Trust </w:t>
            </w:r>
            <w:r w:rsidRPr="008C1F60">
              <w:rPr>
                <w:rFonts w:ascii="Arial" w:hAnsi="Arial" w:cs="Arial"/>
                <w:sz w:val="24"/>
                <w:szCs w:val="24"/>
              </w:rPr>
              <w:t>documents and declaring that they will uphold the same?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Are all personnel records systematically filed together including the surname and forenames of the applicant, together with previous names?  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Records will include:</w:t>
            </w:r>
          </w:p>
          <w:p w:rsidR="008C1F60" w:rsidRPr="008C1F60" w:rsidRDefault="008C1F60" w:rsidP="008C1F60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:rsidR="008C1F60" w:rsidRPr="008C1F60" w:rsidRDefault="008C1F60" w:rsidP="008C1F60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AccessNI </w:t>
            </w:r>
            <w:r w:rsidR="007B7D9B">
              <w:rPr>
                <w:rFonts w:ascii="Arial" w:hAnsi="Arial" w:cs="Arial"/>
                <w:sz w:val="24"/>
                <w:szCs w:val="24"/>
              </w:rPr>
              <w:t>check</w:t>
            </w:r>
            <w:r w:rsidRPr="008C1F60">
              <w:rPr>
                <w:rFonts w:ascii="Arial" w:hAnsi="Arial" w:cs="Arial"/>
                <w:sz w:val="24"/>
                <w:szCs w:val="24"/>
              </w:rPr>
              <w:t xml:space="preserve"> and note on whether the panel deemed that the person was suitable for appointment and forms of identification</w:t>
            </w:r>
          </w:p>
          <w:p w:rsidR="008C1F60" w:rsidRPr="008C1F60" w:rsidRDefault="008C1F60" w:rsidP="008C1F60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8C1F60" w:rsidRPr="008C1F60" w:rsidRDefault="008C1F60" w:rsidP="008C1F60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declaration of acceptance</w:t>
            </w:r>
          </w:p>
          <w:p w:rsidR="008C1F60" w:rsidRPr="008C1F60" w:rsidRDefault="008C1F60" w:rsidP="008C1F60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any notes made by the parish panel during interviews.</w:t>
            </w:r>
          </w:p>
          <w:p w:rsidR="008C1F60" w:rsidRPr="008C1F60" w:rsidRDefault="008C1F60" w:rsidP="008C1F60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Annual review/appraisal forms.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The date of commencement of responsibility must be shown.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F60" w:rsidRPr="008C1F60" w:rsidTr="007B7D9B">
        <w:trPr>
          <w:trHeight w:val="709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G.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H.</w:t>
            </w: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these records kept in a secure filing system to which only the parish panel has access?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Is a register of </w:t>
            </w:r>
            <w:r w:rsidR="00AE2533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 and volunteers maintained showing date of first appointment and subsequent appointments?  The date of completion of service must be recorded in the register and on the personnel file.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the personnel files of individuals who have completed service retained indefinitely?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F60" w:rsidRPr="008C1F60" w:rsidTr="007B7D9B">
        <w:trPr>
          <w:trHeight w:val="709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Is there a register of all trainings attended by </w:t>
            </w:r>
            <w:r w:rsidR="00AE2533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staff, volunteers and panel members?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F60" w:rsidRPr="008C1F60" w:rsidTr="007B7D9B">
        <w:trPr>
          <w:trHeight w:val="709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lastRenderedPageBreak/>
              <w:t>J</w:t>
            </w: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panel completed or ensured that leaders in charge of groups have completed the Annual Review with volunteers / Annual Appraisal with Staff?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any training needs been identified?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How will these needs be met? …………………………………….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any training opportunities been provided to staff/volunteers?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F60" w:rsidRPr="008C1F60" w:rsidTr="007B7D9B">
        <w:trPr>
          <w:trHeight w:val="709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panel requested and received the previous year’s membership forms, parental consent forms and attendance records from each group operating under Safeguarding Trust in the parish?</w:t>
            </w:r>
          </w:p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F60" w:rsidRPr="008C1F60" w:rsidTr="007B7D9B">
        <w:trPr>
          <w:trHeight w:val="709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panel reviewed any completed accident/incident report forms and reported to the Select Vestry as necessary?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F60" w:rsidRPr="008C1F60" w:rsidTr="007B7D9B">
        <w:trPr>
          <w:trHeight w:val="709"/>
        </w:trPr>
        <w:tc>
          <w:tcPr>
            <w:tcW w:w="470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378" w:type="dxa"/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panel ensured that all the following notices are up to date and displayed on parish premises:</w:t>
            </w:r>
          </w:p>
          <w:p w:rsidR="008C1F60" w:rsidRPr="008C1F60" w:rsidRDefault="008C1F60" w:rsidP="008C1F60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8C1F60">
              <w:rPr>
                <w:rFonts w:ascii="Arial" w:eastAsia="Calibri" w:hAnsi="Arial" w:cs="Arial"/>
              </w:rPr>
              <w:t>Panel notice</w:t>
            </w:r>
          </w:p>
          <w:p w:rsidR="008C1F60" w:rsidRPr="008C1F60" w:rsidRDefault="008C1F60" w:rsidP="008C1F60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8C1F60">
              <w:rPr>
                <w:rFonts w:ascii="Arial" w:eastAsia="Calibri" w:hAnsi="Arial" w:cs="Arial"/>
              </w:rPr>
              <w:t>Children’s information poster</w:t>
            </w:r>
          </w:p>
          <w:p w:rsidR="008C1F60" w:rsidRPr="008C1F60" w:rsidRDefault="008C1F60" w:rsidP="008C1F60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8C1F60">
              <w:rPr>
                <w:rFonts w:ascii="Arial" w:eastAsia="Calibri" w:hAnsi="Arial" w:cs="Arial"/>
              </w:rPr>
              <w:t>Child Safeguarding Statement</w:t>
            </w:r>
          </w:p>
          <w:p w:rsidR="008C1F60" w:rsidRPr="008C1F60" w:rsidRDefault="008C1F60" w:rsidP="008C1F60">
            <w:pPr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1F60" w:rsidRPr="008C1F60" w:rsidRDefault="008C1F60" w:rsidP="008C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/>
        </w:rPr>
      </w:pPr>
    </w:p>
    <w:sectPr w:rsidR="008C1F60" w:rsidRPr="008C1F60" w:rsidSect="004E320B">
      <w:footerReference w:type="default" r:id="rId8"/>
      <w:pgSz w:w="11907" w:h="16840" w:code="9"/>
      <w:pgMar w:top="1134" w:right="851" w:bottom="1191" w:left="851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92" w:rsidRDefault="003D5792" w:rsidP="007B7D9B">
      <w:pPr>
        <w:spacing w:after="0" w:line="240" w:lineRule="auto"/>
      </w:pPr>
      <w:r>
        <w:separator/>
      </w:r>
    </w:p>
  </w:endnote>
  <w:endnote w:type="continuationSeparator" w:id="0">
    <w:p w:rsidR="003D5792" w:rsidRDefault="003D5792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946298"/>
      <w:docPartObj>
        <w:docPartGallery w:val="Page Numbers (Bottom of Page)"/>
        <w:docPartUnique/>
      </w:docPartObj>
    </w:sdtPr>
    <w:sdtEndPr/>
    <w:sdtContent>
      <w:sdt>
        <w:sdtPr>
          <w:id w:val="-319268956"/>
          <w:docPartObj>
            <w:docPartGallery w:val="Page Numbers (Top of Page)"/>
            <w:docPartUnique/>
          </w:docPartObj>
        </w:sdtPr>
        <w:sdtEndPr/>
        <w:sdtContent>
          <w:p w:rsidR="004E320B" w:rsidRDefault="004E320B">
            <w:pPr>
              <w:pStyle w:val="Footer"/>
            </w:pPr>
            <w:r>
              <w:t xml:space="preserve">Northern Ireland -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F570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F570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92" w:rsidRDefault="003D5792" w:rsidP="007B7D9B">
      <w:pPr>
        <w:spacing w:after="0" w:line="240" w:lineRule="auto"/>
      </w:pPr>
      <w:r>
        <w:separator/>
      </w:r>
    </w:p>
  </w:footnote>
  <w:footnote w:type="continuationSeparator" w:id="0">
    <w:p w:rsidR="003D5792" w:rsidRDefault="003D5792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B4EE9"/>
    <w:rsid w:val="00266546"/>
    <w:rsid w:val="00283C86"/>
    <w:rsid w:val="002B204F"/>
    <w:rsid w:val="003D5792"/>
    <w:rsid w:val="004E320B"/>
    <w:rsid w:val="004F570F"/>
    <w:rsid w:val="005A1C13"/>
    <w:rsid w:val="007B7D9B"/>
    <w:rsid w:val="007D3DA3"/>
    <w:rsid w:val="00853E22"/>
    <w:rsid w:val="008C1F60"/>
    <w:rsid w:val="00AE2533"/>
    <w:rsid w:val="00BB45A9"/>
    <w:rsid w:val="00CD6A9F"/>
    <w:rsid w:val="00DF70CA"/>
    <w:rsid w:val="00E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7</cp:revision>
  <dcterms:created xsi:type="dcterms:W3CDTF">2018-10-08T11:31:00Z</dcterms:created>
  <dcterms:modified xsi:type="dcterms:W3CDTF">2019-01-22T12:28:00Z</dcterms:modified>
</cp:coreProperties>
</file>